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032</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32</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（二）地块位置：惠城区水口青塘湖片区JD-117-15、JD-117-08-01地块；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（三）地块编号：JD-117-15、JD-117-08-01；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w:t>
      </w:r>
      <w:r>
        <w:rPr>
          <w:rFonts w:hint="eastAsia" w:ascii="仿宋_GB2312" w:hAnsi="宋体" w:eastAsia="仿宋_GB2312" w:cs="宋体"/>
          <w:color w:val="auto"/>
          <w:kern w:val="0"/>
          <w:sz w:val="32"/>
          <w:szCs w:val="32"/>
          <w:highlight w:val="none"/>
          <w:shd w:val="clear" w:color="auto" w:fill="auto"/>
        </w:rPr>
        <w:t>平面界址点以宗地图为准，宗地竖向界限以《</w:t>
      </w:r>
      <w:r>
        <w:rPr>
          <w:rFonts w:hint="eastAsia" w:ascii="仿宋_GB2312" w:hAnsi="宋体" w:eastAsia="仿宋_GB2312" w:cs="宋体"/>
          <w:color w:val="auto"/>
          <w:kern w:val="0"/>
          <w:sz w:val="32"/>
          <w:szCs w:val="32"/>
          <w:highlight w:val="none"/>
          <w:shd w:val="clear" w:color="auto" w:fill="auto"/>
          <w:lang w:val="en-US" w:eastAsia="zh-CN"/>
        </w:rPr>
        <w:t>建设用地规划设计条件</w:t>
      </w:r>
      <w:r>
        <w:rPr>
          <w:rFonts w:hint="eastAsia" w:ascii="仿宋_GB2312" w:hAnsi="宋体" w:eastAsia="仿宋_GB2312" w:cs="宋体"/>
          <w:color w:val="auto"/>
          <w:kern w:val="0"/>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rPr>
        <w:t>PB202</w:t>
      </w:r>
      <w:r>
        <w:rPr>
          <w:rFonts w:hint="eastAsia" w:ascii="仿宋_GB2312" w:hAnsi="仿宋_GB2312" w:eastAsia="仿宋_GB2312" w:cs="仿宋_GB2312"/>
          <w:sz w:val="32"/>
          <w:szCs w:val="32"/>
          <w:highlight w:val="none"/>
          <w:shd w:val="clear" w:color="auto" w:fill="auto"/>
          <w:lang w:val="en-US" w:eastAsia="zh-CN"/>
        </w:rPr>
        <w:t>10047</w:t>
      </w:r>
      <w:r>
        <w:rPr>
          <w:rFonts w:hint="eastAsia" w:ascii="仿宋_GB2312" w:hAnsi="宋体" w:eastAsia="仿宋_GB2312" w:cs="宋体"/>
          <w:color w:val="auto"/>
          <w:kern w:val="0"/>
          <w:sz w:val="32"/>
          <w:szCs w:val="32"/>
          <w:highlight w:val="none"/>
          <w:shd w:val="clear" w:color="auto" w:fill="auto"/>
          <w:lang w:val="en-US" w:eastAsia="zh-CN"/>
        </w:rPr>
        <w:t>号</w:t>
      </w:r>
      <w:r>
        <w:rPr>
          <w:rFonts w:hint="eastAsia" w:ascii="仿宋_GB2312" w:hAnsi="宋体" w:eastAsia="仿宋_GB2312" w:cs="宋体"/>
          <w:color w:val="auto"/>
          <w:kern w:val="0"/>
          <w:sz w:val="32"/>
          <w:szCs w:val="32"/>
          <w:highlight w:val="none"/>
          <w:shd w:val="clear" w:color="auto" w:fill="auto"/>
        </w:rPr>
        <w:t>）规定为准</w:t>
      </w:r>
      <w:r>
        <w:rPr>
          <w:rFonts w:hint="eastAsia" w:ascii="仿宋_GB2312" w:hAnsi="仿宋_GB2312" w:eastAsia="仿宋_GB2312" w:cs="仿宋_GB2312"/>
          <w:sz w:val="32"/>
          <w:szCs w:val="32"/>
          <w:highlight w:val="none"/>
          <w:shd w:val="clear" w:color="auto" w:fill="auto"/>
        </w:rPr>
        <w:t>；</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宗地使用权面积为：JD-117-15：15060.72平方米、JD-117-08-01：1790.26平方米；</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（六）计算指标用地面积为：JD-117-15：21096平方米、JD-117-08-01：4884平方米；</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（七）计容积率建筑面积：D-117-15：42192-63288平方米（其中配套设施面积≥100平方米）、JD-117-08-01：9768-14652平方米（其中配套设施面积≥65平方米）；</w:t>
      </w:r>
    </w:p>
    <w:p>
      <w:pPr>
        <w:shd w:val="clear"/>
        <w:tabs>
          <w:tab w:val="left" w:pos="840"/>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（八）容积率为：2.0-3.0%；</w:t>
      </w:r>
    </w:p>
    <w:p>
      <w:pPr>
        <w:shd w:val="clear"/>
        <w:tabs>
          <w:tab w:val="left" w:pos="840"/>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十一</w:t>
      </w:r>
      <w:r>
        <w:rPr>
          <w:rFonts w:hint="eastAsia" w:ascii="仿宋_GB2312" w:hAnsi="仿宋_GB2312" w:eastAsia="仿宋_GB2312" w:cs="仿宋_GB2312"/>
          <w:sz w:val="32"/>
          <w:szCs w:val="32"/>
          <w:highlight w:val="none"/>
          <w:shd w:val="clear" w:color="auto" w:fill="auto"/>
        </w:rPr>
        <w:t>）土地用途为：</w:t>
      </w:r>
      <w:r>
        <w:rPr>
          <w:rFonts w:hint="eastAsia" w:ascii="仿宋_GB2312" w:hAnsi="仿宋_GB2312" w:eastAsia="仿宋_GB2312" w:cs="仿宋_GB2312"/>
          <w:sz w:val="32"/>
          <w:szCs w:val="32"/>
          <w:highlight w:val="none"/>
          <w:shd w:val="clear" w:color="auto" w:fill="auto"/>
          <w:lang w:val="en-US" w:eastAsia="zh-CN"/>
        </w:rPr>
        <w:t>一类工业用地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left="0" w:leftChars="0"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）土地使用权出让年</w:t>
      </w:r>
      <w:r>
        <w:rPr>
          <w:rFonts w:hint="eastAsia" w:ascii="仿宋_GB2312" w:hAnsi="仿宋_GB2312" w:eastAsia="仿宋_GB2312" w:cs="仿宋_GB2312"/>
          <w:sz w:val="32"/>
          <w:szCs w:val="32"/>
          <w:highlight w:val="none"/>
          <w:shd w:val="clear" w:color="auto" w:fill="auto"/>
          <w:lang w:val="en-US" w:eastAsia="zh-CN"/>
        </w:rPr>
        <w:t>限</w:t>
      </w:r>
      <w:r>
        <w:rPr>
          <w:rFonts w:hint="eastAsia" w:ascii="仿宋_GB2312" w:hAnsi="仿宋_GB2312" w:eastAsia="仿宋_GB2312" w:cs="仿宋_GB2312"/>
          <w:sz w:val="32"/>
          <w:szCs w:val="32"/>
          <w:highlight w:val="none"/>
          <w:shd w:val="clear" w:color="auto" w:fill="auto"/>
        </w:rPr>
        <w:t>为：</w:t>
      </w:r>
      <w:r>
        <w:rPr>
          <w:rFonts w:hint="eastAsia" w:ascii="仿宋_GB2312" w:hAnsi="仿宋_GB2312" w:eastAsia="仿宋_GB2312" w:cs="仿宋_GB2312"/>
          <w:sz w:val="32"/>
          <w:szCs w:val="32"/>
          <w:highlight w:val="none"/>
          <w:shd w:val="clear" w:color="auto" w:fill="auto"/>
          <w:lang w:val="en-US" w:eastAsia="zh-CN"/>
        </w:rPr>
        <w:t>50年</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产业类型</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电气机械及器材制造业用地</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 动工及竣工时间：</w:t>
      </w:r>
      <w:r>
        <w:rPr>
          <w:rFonts w:hint="eastAsia" w:ascii="仿宋_GB2312" w:hAnsi="宋体" w:eastAsia="仿宋_GB2312" w:cs="宋体"/>
          <w:color w:val="auto"/>
          <w:kern w:val="0"/>
          <w:sz w:val="32"/>
          <w:szCs w:val="32"/>
          <w:highlight w:val="none"/>
          <w:shd w:val="clear" w:color="auto" w:fill="auto"/>
        </w:rPr>
        <w:t>该地块动工时间为地块交付之日起一年内，竣工时间为土地交付之日起三年内（因不可抗拒因素除外）</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Times New Roman" w:hAnsi="Times New Roman" w:eastAsia="仿宋_GB2312"/>
          <w:sz w:val="30"/>
          <w:szCs w:val="30"/>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 xml:space="preserve">）本地块交付时间为《国有土地使用权出让合同》签订之日。 </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四、土地开发及使用规定</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（一）</w:t>
      </w:r>
      <w:r>
        <w:rPr>
          <w:rFonts w:hint="eastAsia" w:ascii="仿宋_GB2312" w:hAnsi="仿宋_GB2312" w:eastAsia="仿宋_GB2312" w:cs="仿宋_GB2312"/>
          <w:sz w:val="32"/>
          <w:szCs w:val="32"/>
          <w:highlight w:val="none"/>
          <w:shd w:val="clear" w:color="auto" w:fill="auto"/>
          <w:lang w:eastAsia="zh-CN"/>
        </w:rPr>
        <w:t>开发投资总额不少于人民币</w:t>
      </w:r>
      <w:r>
        <w:rPr>
          <w:rFonts w:hint="eastAsia" w:ascii="仿宋_GB2312" w:hAnsi="仿宋_GB2312" w:eastAsia="仿宋_GB2312" w:cs="仿宋_GB2312"/>
          <w:sz w:val="32"/>
          <w:szCs w:val="32"/>
          <w:highlight w:val="none"/>
          <w:shd w:val="clear" w:color="auto" w:fill="auto"/>
          <w:lang w:val="en-US" w:eastAsia="zh-CN"/>
        </w:rPr>
        <w:t>35078万元</w:t>
      </w:r>
      <w:r>
        <w:rPr>
          <w:rFonts w:hint="eastAsia" w:ascii="仿宋_GB2312" w:hAnsi="仿宋_GB2312" w:eastAsia="仿宋_GB2312" w:cs="仿宋_GB2312"/>
          <w:sz w:val="32"/>
          <w:szCs w:val="32"/>
          <w:highlight w:val="none"/>
          <w:shd w:val="clear" w:color="auto" w:fill="auto"/>
          <w:lang w:eastAsia="zh-CN"/>
        </w:rPr>
        <w:t>（含地价）。</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eastAsia="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eastAsia="zh-CN"/>
        </w:rPr>
        <w:t>土地成交价款须以人民币支付,竞得人在签订《出让合同》之日起30日内付清全部成交价款。</w:t>
      </w:r>
    </w:p>
    <w:p>
      <w:pPr>
        <w:shd w:val="clear"/>
        <w:spacing w:line="560" w:lineRule="exact"/>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（三）竞得人在用地红线内开发建设必须符合城市规划要求，必须按</w:t>
      </w:r>
      <w:r>
        <w:rPr>
          <w:rFonts w:hint="eastAsia" w:ascii="仿宋_GB2312" w:hAnsi="宋体" w:eastAsia="仿宋_GB2312" w:cs="宋体"/>
          <w:color w:val="auto"/>
          <w:kern w:val="0"/>
          <w:sz w:val="32"/>
          <w:szCs w:val="32"/>
          <w:highlight w:val="none"/>
          <w:shd w:val="clear" w:color="auto" w:fill="auto"/>
          <w:lang w:eastAsia="zh-CN"/>
        </w:rPr>
        <w:t>项目规划建设方案</w:t>
      </w:r>
      <w:r>
        <w:rPr>
          <w:rFonts w:hint="eastAsia" w:ascii="仿宋_GB2312" w:hAnsi="仿宋_GB2312" w:eastAsia="仿宋_GB2312" w:cs="仿宋_GB2312"/>
          <w:sz w:val="32"/>
          <w:szCs w:val="32"/>
          <w:highlight w:val="none"/>
          <w:shd w:val="clear" w:color="auto" w:fill="auto"/>
          <w:lang w:eastAsia="zh-CN"/>
        </w:rPr>
        <w:t>的要求进行规划设计。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（四）项目规划建设方案</w:t>
      </w:r>
    </w:p>
    <w:p>
      <w:pPr>
        <w:pStyle w:val="2"/>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highlight w:val="none"/>
          <w:shd w:val="clear" w:color="auto" w:fill="auto"/>
          <w:lang w:val="en-US" w:eastAsia="zh-CN"/>
        </w:rPr>
      </w:pPr>
      <w:r>
        <w:rPr>
          <w:rFonts w:hint="eastAsia" w:ascii="仿宋_GB2312" w:hAnsi="仿宋_GB2312" w:eastAsia="仿宋_GB2312" w:cs="仿宋_GB2312"/>
          <w:b w:val="0"/>
          <w:bCs w:val="0"/>
          <w:color w:val="000000"/>
          <w:kern w:val="0"/>
          <w:sz w:val="32"/>
          <w:szCs w:val="32"/>
          <w:highlight w:val="none"/>
          <w:shd w:val="clear" w:color="auto" w:fill="auto"/>
          <w:lang w:val="en-US" w:eastAsia="zh-CN"/>
        </w:rPr>
        <w:t>所报总平面图的主要技术经济指标：规划布局2栋厂房，建筑层数地上最高6层，地下1层，计算指标用地面积25980平方米，计容积率总建筑面积50747.25平方米，容积率2.41，建筑系数38.11%，绿地率15%，机动车停车位250个（全为地下）。各项指标满足《建设用地规划设计条件》（PB20210047号)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pStyle w:val="2"/>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kern w:val="2"/>
          <w:sz w:val="32"/>
          <w:szCs w:val="32"/>
          <w:highlight w:val="none"/>
          <w:shd w:val="clear" w:color="auto" w:fill="auto"/>
          <w:lang w:val="en-US" w:eastAsia="zh-CN" w:bidi="ar-SA"/>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13502元/平方米，土地产出率（工业产值）不低于23628元/平方米/年，税收产出不低于1168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pStyle w:val="2"/>
        <w:rPr>
          <w:rFonts w:hint="default"/>
          <w:lang w:val="en-US"/>
        </w:rPr>
      </w:pPr>
      <w:r>
        <w:rPr>
          <w:rFonts w:hint="eastAsia" w:ascii="仿宋_GB2312" w:hAnsi="仿宋_GB2312" w:eastAsia="仿宋_GB2312" w:cs="仿宋_GB2312"/>
          <w:b w:val="0"/>
          <w:bCs w:val="0"/>
          <w:color w:val="000000"/>
          <w:kern w:val="0"/>
          <w:sz w:val="32"/>
          <w:szCs w:val="32"/>
          <w:lang w:val="en-US" w:eastAsia="zh-CN"/>
        </w:rPr>
        <w:t xml:space="preserve"> 竞得人需与惠州市惠城区高新科技产业园管理委员会签订《项目实施监管协议书》并完成监管协议公证手续。</w:t>
      </w:r>
    </w:p>
    <w:p>
      <w:pPr>
        <w:keepNext w:val="0"/>
        <w:keepLines w:val="0"/>
        <w:pageBreakBefore w:val="0"/>
        <w:widowControl w:val="0"/>
        <w:numPr>
          <w:ilvl w:val="0"/>
          <w:numId w:val="1"/>
        </w:numPr>
        <w:shd w:val="clea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竞得人在签订《成交确认书》前，须与</w:t>
      </w:r>
      <w:r>
        <w:rPr>
          <w:rFonts w:hint="eastAsia" w:ascii="仿宋_GB2312" w:hAnsi="宋体" w:eastAsia="仿宋_GB2312" w:cs="宋体"/>
          <w:color w:val="auto"/>
          <w:kern w:val="0"/>
          <w:sz w:val="32"/>
          <w:szCs w:val="32"/>
          <w:highlight w:val="none"/>
          <w:shd w:val="clear" w:color="auto" w:fill="auto"/>
          <w:lang w:val="en-US" w:eastAsia="zh-CN"/>
        </w:rPr>
        <w:t>惠城区高新科技产业园管委会</w:t>
      </w:r>
      <w:r>
        <w:rPr>
          <w:rFonts w:hint="eastAsia" w:ascii="仿宋_GB2312" w:hAnsi="宋体" w:eastAsia="仿宋_GB2312" w:cs="宋体"/>
          <w:color w:val="auto"/>
          <w:kern w:val="0"/>
          <w:sz w:val="32"/>
          <w:szCs w:val="32"/>
          <w:highlight w:val="none"/>
          <w:shd w:val="clear" w:color="auto" w:fill="auto"/>
        </w:rPr>
        <w:t>签订《项目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监管协议书》，并由</w:t>
      </w:r>
      <w:r>
        <w:rPr>
          <w:rFonts w:hint="eastAsia" w:ascii="仿宋_GB2312" w:hAnsi="宋体" w:eastAsia="仿宋_GB2312" w:cs="宋体"/>
          <w:color w:val="auto"/>
          <w:kern w:val="0"/>
          <w:sz w:val="32"/>
          <w:szCs w:val="32"/>
          <w:highlight w:val="none"/>
          <w:shd w:val="clear" w:color="auto" w:fill="auto"/>
          <w:lang w:val="en-US" w:eastAsia="zh-CN"/>
        </w:rPr>
        <w:t>惠城区高新科技产业园管委会</w:t>
      </w:r>
      <w:r>
        <w:rPr>
          <w:rFonts w:hint="eastAsia" w:ascii="仿宋_GB2312" w:hAnsi="宋体" w:eastAsia="仿宋_GB2312" w:cs="宋体"/>
          <w:color w:val="auto"/>
          <w:kern w:val="0"/>
          <w:sz w:val="32"/>
          <w:szCs w:val="32"/>
          <w:highlight w:val="none"/>
          <w:shd w:val="clear" w:color="auto" w:fill="auto"/>
        </w:rPr>
        <w:t>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774</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（二）竞买人须提交惠城区发改局出具的与该宗地块规划确定的产业类型一致的优先发展产业项目文件。</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1、存在伪造公文骗取用地和非法倒卖土地等犯罪行为的；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2、存在非法转让土地使用权等违法行为的；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3、因企业原因造成土地闲置一年以上且至报名日止未处罚完结的；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4、开发建设企业有违背出让合同约定条件开发利用土地情形且至报名日止未处罚完结的；</w:t>
      </w:r>
    </w:p>
    <w:p>
      <w:pPr>
        <w:keepNext w:val="0"/>
        <w:keepLines w:val="0"/>
        <w:pageBreakBefore w:val="0"/>
        <w:widowControl w:val="0"/>
        <w:shd w:val="clear"/>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auto"/>
          <w:kern w:val="0"/>
          <w:sz w:val="32"/>
          <w:szCs w:val="32"/>
          <w:highlight w:val="none"/>
          <w:shd w:val="clear" w:color="auto" w:fill="auto"/>
          <w:lang w:val="en-US" w:eastAsia="zh-CN" w:bidi="ar-SA"/>
        </w:rPr>
      </w:pPr>
      <w:r>
        <w:rPr>
          <w:rFonts w:hint="eastAsia" w:ascii="仿宋_GB2312" w:hAnsi="宋体" w:eastAsia="仿宋_GB2312" w:cs="宋体"/>
          <w:color w:val="auto"/>
          <w:kern w:val="0"/>
          <w:sz w:val="32"/>
          <w:szCs w:val="32"/>
          <w:highlight w:val="none"/>
          <w:shd w:val="clear" w:color="auto" w:fill="auto"/>
          <w:lang w:val="en-US" w:eastAsia="zh-CN" w:bidi="ar-SA"/>
        </w:rPr>
        <w:t>5、至报名日止仍拖欠政府地价款的。</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贰仟伍佰捌拾</w:t>
      </w:r>
      <w:r>
        <w:rPr>
          <w:rFonts w:hint="eastAsia" w:ascii="仿宋_GB2312" w:hAnsi="仿宋_GB2312" w:eastAsia="仿宋_GB2312" w:cs="仿宋_GB2312"/>
          <w:color w:val="auto"/>
          <w:sz w:val="32"/>
          <w:szCs w:val="32"/>
          <w:highlight w:val="none"/>
          <w:u w:val="single"/>
          <w:shd w:val="clear" w:color="auto" w:fill="auto"/>
        </w:rPr>
        <w:t>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2580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13</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PB20210047号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27</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color w:val="auto"/>
          <w:sz w:val="32"/>
          <w:szCs w:val="32"/>
          <w:highlight w:val="none"/>
          <w:u w:val="single"/>
          <w:shd w:val="clear" w:color="auto" w:fill="auto"/>
          <w:lang w:val="en-US" w:eastAsia="zh-CN"/>
        </w:rPr>
        <w:t>柒佰柒拾肆万元</w:t>
      </w:r>
      <w:r>
        <w:rPr>
          <w:rFonts w:hint="eastAsia" w:ascii="仿宋_GB2312" w:hAnsi="仿宋_GB2312" w:eastAsia="仿宋_GB2312" w:cs="仿宋_GB2312"/>
          <w:color w:val="auto"/>
          <w:sz w:val="32"/>
          <w:szCs w:val="32"/>
          <w:highlight w:val="none"/>
          <w:u w:val="single"/>
          <w:shd w:val="clear" w:color="auto" w:fill="auto"/>
        </w:rPr>
        <w:t>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774</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10、中国光大银行股份有限公司惠州分行。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中信银行股份有限公司惠州分行。(备注:中信银行股份有限公司惠州分行本行</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须到银行柜面办理)。</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个工作日内持公司公章及下列有关纸质材料到本中心进行</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符合竞买资格的，</w:t>
      </w:r>
      <w:r>
        <w:rPr>
          <w:rFonts w:hint="eastAsia" w:ascii="仿宋_GB2312" w:hAnsi="仿宋_GB2312" w:eastAsia="仿宋_GB2312" w:cs="仿宋_GB2312"/>
          <w:sz w:val="32"/>
          <w:szCs w:val="32"/>
          <w:highlight w:val="none"/>
          <w:shd w:val="clear" w:color="auto" w:fill="auto"/>
        </w:rPr>
        <w:t>竞得人应当在网上挂牌交易结果公布</w:t>
      </w:r>
      <w:r>
        <w:rPr>
          <w:rFonts w:hint="eastAsia" w:ascii="仿宋_GB2312" w:hAnsi="仿宋_GB2312" w:eastAsia="仿宋_GB2312" w:cs="仿宋_GB2312"/>
          <w:sz w:val="32"/>
          <w:szCs w:val="32"/>
          <w:highlight w:val="none"/>
          <w:shd w:val="clear" w:color="auto" w:fill="auto"/>
          <w:lang w:val="en-US" w:eastAsia="zh-CN"/>
        </w:rPr>
        <w:t>之日起5</w:t>
      </w:r>
      <w:r>
        <w:rPr>
          <w:rFonts w:hint="eastAsia" w:ascii="仿宋_GB2312" w:hAnsi="仿宋_GB2312" w:eastAsia="仿宋_GB2312" w:cs="仿宋_GB2312"/>
          <w:sz w:val="32"/>
          <w:szCs w:val="32"/>
          <w:highlight w:val="none"/>
          <w:shd w:val="clear" w:color="auto" w:fill="auto"/>
        </w:rPr>
        <w:t>个工作日内</w:t>
      </w:r>
      <w:r>
        <w:rPr>
          <w:rFonts w:hint="eastAsia" w:ascii="仿宋_GB2312" w:hAnsi="仿宋_GB2312" w:eastAsia="仿宋_GB2312" w:cs="仿宋_GB2312"/>
          <w:sz w:val="32"/>
          <w:szCs w:val="32"/>
          <w:highlight w:val="none"/>
          <w:shd w:val="clear" w:color="auto" w:fill="auto"/>
          <w:lang w:val="en-US" w:eastAsia="zh-CN"/>
        </w:rPr>
        <w:t>签订《成交确认书》</w:t>
      </w:r>
      <w:bookmarkStart w:id="8" w:name="_GoBack"/>
      <w:bookmarkEnd w:id="8"/>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《项目</w:t>
      </w:r>
      <w:r>
        <w:rPr>
          <w:rFonts w:hint="eastAsia" w:ascii="仿宋_GB2312" w:hAnsi="宋体" w:eastAsia="仿宋_GB2312" w:cs="宋体"/>
          <w:color w:val="auto"/>
          <w:kern w:val="0"/>
          <w:sz w:val="32"/>
          <w:szCs w:val="32"/>
          <w:highlight w:val="none"/>
          <w:shd w:val="clear" w:color="auto" w:fill="auto"/>
          <w:lang w:val="en-US" w:eastAsia="zh-CN"/>
        </w:rPr>
        <w:t>实施</w:t>
      </w:r>
      <w:r>
        <w:rPr>
          <w:rFonts w:hint="eastAsia" w:ascii="仿宋_GB2312" w:hAnsi="宋体" w:eastAsia="仿宋_GB2312" w:cs="宋体"/>
          <w:color w:val="auto"/>
          <w:kern w:val="0"/>
          <w:sz w:val="32"/>
          <w:szCs w:val="32"/>
          <w:highlight w:val="none"/>
          <w:shd w:val="clear" w:color="auto" w:fill="auto"/>
        </w:rPr>
        <w:t>监管协议书》。</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提交惠城区发改局出具的与该宗地块规划确定的产业类型一致的优先发展产业项目文件。</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pStyle w:val="2"/>
        <w:shd w:val="clear"/>
        <w:ind w:left="0" w:leftChars="0" w:firstLine="640" w:firstLineChars="0"/>
        <w:rPr>
          <w:rFonts w:hint="default" w:ascii="仿宋_GB2312" w:hAnsi="仿宋_GB2312" w:eastAsia="仿宋_GB2312" w:cs="仿宋_GB2312"/>
          <w:b w:val="0"/>
          <w:bCs w:val="0"/>
          <w:sz w:val="32"/>
          <w:szCs w:val="32"/>
          <w:highlight w:val="none"/>
          <w:shd w:val="clear" w:color="auto" w:fill="auto"/>
          <w:lang w:val="en-US" w:eastAsia="zh-CN"/>
        </w:rPr>
      </w:pPr>
      <w:r>
        <w:rPr>
          <w:rFonts w:hint="eastAsia" w:ascii="仿宋_GB2312" w:hAnsi="仿宋_GB2312" w:eastAsia="仿宋_GB2312" w:cs="仿宋_GB2312"/>
          <w:b w:val="0"/>
          <w:bCs w:val="0"/>
          <w:sz w:val="32"/>
          <w:szCs w:val="32"/>
          <w:highlight w:val="none"/>
          <w:shd w:val="clear" w:color="auto" w:fill="auto"/>
          <w:lang w:val="en-US" w:eastAsia="zh-CN"/>
        </w:rPr>
        <w:t>3、经审查，符合</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b w:val="0"/>
          <w:bCs w:val="0"/>
          <w:sz w:val="32"/>
          <w:szCs w:val="32"/>
          <w:highlight w:val="none"/>
          <w:shd w:val="clear" w:color="auto" w:fill="auto"/>
          <w:lang w:val="en-US" w:eastAsia="zh-CN"/>
        </w:rPr>
        <w:t>资格的，竞得人应当按挂牌文件的约定时间与本中心及出让人签订《成交确认书》；经审查，不符合竞买资格的，按本须知第六条处理。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宋体" w:eastAsia="仿宋_GB2312" w:cs="宋体"/>
          <w:color w:val="auto"/>
          <w:kern w:val="0"/>
          <w:sz w:val="32"/>
          <w:szCs w:val="32"/>
          <w:highlight w:val="none"/>
          <w:shd w:val="clear" w:color="auto" w:fill="auto"/>
        </w:rPr>
        <w:t>即新公司的股东必须100%是竞买申请企业作为法人的股东</w:t>
      </w:r>
      <w:r>
        <w:rPr>
          <w:rFonts w:hint="eastAsia" w:ascii="仿宋_GB2312" w:hAnsi="仿宋_GB2312" w:eastAsia="仿宋_GB2312" w:cs="仿宋_GB2312"/>
          <w:sz w:val="32"/>
          <w:szCs w:val="32"/>
          <w:highlight w:val="none"/>
          <w:shd w:val="clear" w:color="auto" w:fill="auto"/>
        </w:rPr>
        <w:t>。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shd w:val="clear"/>
        <w:rPr>
          <w:highlight w:val="none"/>
          <w:shd w:val="clear" w:color="auto" w:fill="auto"/>
        </w:rPr>
      </w:pPr>
    </w:p>
    <w:p>
      <w:pPr>
        <w:pStyle w:val="2"/>
        <w:shd w:val="clear"/>
        <w:rPr>
          <w:highlight w:val="none"/>
          <w:shd w:val="clear" w:color="auto" w:fill="auto"/>
        </w:rPr>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2021年9月22日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4BB1"/>
    <w:multiLevelType w:val="singleLevel"/>
    <w:tmpl w:val="F8BE4BB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42C6BAB"/>
    <w:rsid w:val="04BB2A35"/>
    <w:rsid w:val="04F7599A"/>
    <w:rsid w:val="05280DC9"/>
    <w:rsid w:val="054F511E"/>
    <w:rsid w:val="05616BEE"/>
    <w:rsid w:val="05AA6043"/>
    <w:rsid w:val="065D58C0"/>
    <w:rsid w:val="06E22DF8"/>
    <w:rsid w:val="071F73B3"/>
    <w:rsid w:val="077D5D24"/>
    <w:rsid w:val="07F629A0"/>
    <w:rsid w:val="091E26EA"/>
    <w:rsid w:val="09317644"/>
    <w:rsid w:val="0A771CCA"/>
    <w:rsid w:val="0A812477"/>
    <w:rsid w:val="0B1406EF"/>
    <w:rsid w:val="0C40433F"/>
    <w:rsid w:val="0C8642BF"/>
    <w:rsid w:val="0DCB3B54"/>
    <w:rsid w:val="0FB217AF"/>
    <w:rsid w:val="0FB2799E"/>
    <w:rsid w:val="10152918"/>
    <w:rsid w:val="105A2768"/>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7DF6D0D"/>
    <w:rsid w:val="18220C10"/>
    <w:rsid w:val="1960257D"/>
    <w:rsid w:val="19D941D6"/>
    <w:rsid w:val="1C431BA6"/>
    <w:rsid w:val="1CB6407B"/>
    <w:rsid w:val="1D717DCD"/>
    <w:rsid w:val="1DE56E00"/>
    <w:rsid w:val="1E4A3E3B"/>
    <w:rsid w:val="1E9B31A0"/>
    <w:rsid w:val="1ED73189"/>
    <w:rsid w:val="1F1E4268"/>
    <w:rsid w:val="20855E22"/>
    <w:rsid w:val="21587C67"/>
    <w:rsid w:val="22463965"/>
    <w:rsid w:val="2249566B"/>
    <w:rsid w:val="22661D8C"/>
    <w:rsid w:val="22DC01FC"/>
    <w:rsid w:val="23141DA3"/>
    <w:rsid w:val="247C6354"/>
    <w:rsid w:val="259D34B7"/>
    <w:rsid w:val="25D63F7C"/>
    <w:rsid w:val="25E54340"/>
    <w:rsid w:val="26391FD0"/>
    <w:rsid w:val="26741665"/>
    <w:rsid w:val="272C05B0"/>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2FEE7E5F"/>
    <w:rsid w:val="30AC5587"/>
    <w:rsid w:val="30DB33EE"/>
    <w:rsid w:val="313D23E2"/>
    <w:rsid w:val="31880862"/>
    <w:rsid w:val="31B60A9D"/>
    <w:rsid w:val="324E22EE"/>
    <w:rsid w:val="33A33367"/>
    <w:rsid w:val="33CE0AAA"/>
    <w:rsid w:val="34B40523"/>
    <w:rsid w:val="34C41D04"/>
    <w:rsid w:val="34CD617E"/>
    <w:rsid w:val="360B04FE"/>
    <w:rsid w:val="378C6660"/>
    <w:rsid w:val="37FB7A76"/>
    <w:rsid w:val="38DE5E51"/>
    <w:rsid w:val="390E539D"/>
    <w:rsid w:val="3C4A4143"/>
    <w:rsid w:val="3C5E598F"/>
    <w:rsid w:val="3C8F0E4F"/>
    <w:rsid w:val="3CAD2EC5"/>
    <w:rsid w:val="3CB81CC8"/>
    <w:rsid w:val="3D322E34"/>
    <w:rsid w:val="3D34683B"/>
    <w:rsid w:val="3D5E1016"/>
    <w:rsid w:val="3F3F4FAD"/>
    <w:rsid w:val="3FB91BA4"/>
    <w:rsid w:val="3FC22752"/>
    <w:rsid w:val="418879B1"/>
    <w:rsid w:val="421630A4"/>
    <w:rsid w:val="432B1A76"/>
    <w:rsid w:val="43E840B4"/>
    <w:rsid w:val="43EC1655"/>
    <w:rsid w:val="440C4340"/>
    <w:rsid w:val="4442558E"/>
    <w:rsid w:val="44811DC9"/>
    <w:rsid w:val="450E3C66"/>
    <w:rsid w:val="454309A1"/>
    <w:rsid w:val="458C06A8"/>
    <w:rsid w:val="45C47203"/>
    <w:rsid w:val="45E829E7"/>
    <w:rsid w:val="465E4F22"/>
    <w:rsid w:val="467262F8"/>
    <w:rsid w:val="46DA05EA"/>
    <w:rsid w:val="46F579AB"/>
    <w:rsid w:val="48312AAD"/>
    <w:rsid w:val="48566E44"/>
    <w:rsid w:val="48593E6F"/>
    <w:rsid w:val="48B510E7"/>
    <w:rsid w:val="493B6F1B"/>
    <w:rsid w:val="4AFF2E69"/>
    <w:rsid w:val="4BA610FC"/>
    <w:rsid w:val="4BEE1CA4"/>
    <w:rsid w:val="4CF51C39"/>
    <w:rsid w:val="4D1F6077"/>
    <w:rsid w:val="4DC8070E"/>
    <w:rsid w:val="4ED2701A"/>
    <w:rsid w:val="4F1E4BBE"/>
    <w:rsid w:val="4F3537ED"/>
    <w:rsid w:val="4FFE1B2F"/>
    <w:rsid w:val="50B25F39"/>
    <w:rsid w:val="51467837"/>
    <w:rsid w:val="51660328"/>
    <w:rsid w:val="52132F5D"/>
    <w:rsid w:val="528F1625"/>
    <w:rsid w:val="52AA5DFE"/>
    <w:rsid w:val="533F6C66"/>
    <w:rsid w:val="544F17E9"/>
    <w:rsid w:val="546D5003"/>
    <w:rsid w:val="54943EAC"/>
    <w:rsid w:val="54C11818"/>
    <w:rsid w:val="58AC5C79"/>
    <w:rsid w:val="58B217DC"/>
    <w:rsid w:val="58FE24B1"/>
    <w:rsid w:val="59693A9B"/>
    <w:rsid w:val="5A154FE3"/>
    <w:rsid w:val="5AEE4F52"/>
    <w:rsid w:val="5B0C2732"/>
    <w:rsid w:val="5B1D2CCC"/>
    <w:rsid w:val="5B52670E"/>
    <w:rsid w:val="5B625B54"/>
    <w:rsid w:val="5B640509"/>
    <w:rsid w:val="5B8E3054"/>
    <w:rsid w:val="5C943765"/>
    <w:rsid w:val="5D006096"/>
    <w:rsid w:val="5D731ABE"/>
    <w:rsid w:val="5DB15592"/>
    <w:rsid w:val="5DF81F1B"/>
    <w:rsid w:val="5DFB50B1"/>
    <w:rsid w:val="5E2E0948"/>
    <w:rsid w:val="600D408B"/>
    <w:rsid w:val="610A5EBF"/>
    <w:rsid w:val="61245A3C"/>
    <w:rsid w:val="6178185B"/>
    <w:rsid w:val="617F00E3"/>
    <w:rsid w:val="61C04C47"/>
    <w:rsid w:val="61C170AA"/>
    <w:rsid w:val="626D5569"/>
    <w:rsid w:val="62D03E81"/>
    <w:rsid w:val="62D41879"/>
    <w:rsid w:val="6398078D"/>
    <w:rsid w:val="641A28B3"/>
    <w:rsid w:val="648A18F5"/>
    <w:rsid w:val="64C30585"/>
    <w:rsid w:val="651C53A6"/>
    <w:rsid w:val="656B5E9D"/>
    <w:rsid w:val="659D6FA9"/>
    <w:rsid w:val="65F2007E"/>
    <w:rsid w:val="66C13377"/>
    <w:rsid w:val="67270606"/>
    <w:rsid w:val="67927D39"/>
    <w:rsid w:val="68085778"/>
    <w:rsid w:val="688B43B5"/>
    <w:rsid w:val="69B07B1E"/>
    <w:rsid w:val="69E22ED5"/>
    <w:rsid w:val="6A15326A"/>
    <w:rsid w:val="6AA821A5"/>
    <w:rsid w:val="6B8A6BF3"/>
    <w:rsid w:val="6BFA1460"/>
    <w:rsid w:val="6C013F77"/>
    <w:rsid w:val="6C181FB4"/>
    <w:rsid w:val="6C197CDD"/>
    <w:rsid w:val="6C5A6DDE"/>
    <w:rsid w:val="6C611252"/>
    <w:rsid w:val="6CCC1A8E"/>
    <w:rsid w:val="6E1E50A4"/>
    <w:rsid w:val="6FCE2720"/>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E44F5D"/>
    <w:rsid w:val="7B3065F7"/>
    <w:rsid w:val="7B4F2E9A"/>
    <w:rsid w:val="7B8363CD"/>
    <w:rsid w:val="7D5207DE"/>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0</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2021-09-10T08:23:00Z</cp:lastPrinted>
  <dcterms:modified xsi:type="dcterms:W3CDTF">2021-09-27T06:12:16Z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